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16EA98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中国城镇供水排水协会团体标准《再生水输送球墨铸铁管技术规程</w:t>
      </w:r>
      <w:r>
        <w:rPr>
          <w:rFonts w:hint="eastAsia" w:ascii="黑体" w:eastAsia="黑体"/>
          <w:sz w:val="32"/>
          <w:szCs w:val="32"/>
          <w:lang w:val="en-US" w:eastAsia="zh-CN"/>
        </w:rPr>
        <w:t>（征求意见稿）</w:t>
      </w:r>
      <w:r>
        <w:rPr>
          <w:rFonts w:hint="eastAsia" w:ascii="黑体" w:eastAsia="黑体"/>
          <w:sz w:val="32"/>
          <w:szCs w:val="32"/>
        </w:rPr>
        <w:t>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  <w:bookmarkStart w:id="0" w:name="_GoBack"/>
      <w:bookmarkEnd w:id="0"/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C544EC3"/>
    <w:rsid w:val="5D453148"/>
    <w:rsid w:val="5EC933F9"/>
    <w:rsid w:val="623F1970"/>
    <w:rsid w:val="69F460C0"/>
    <w:rsid w:val="6BAD16D8"/>
    <w:rsid w:val="74CF3730"/>
    <w:rsid w:val="79F33ABF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2026-07-03T05:54:19Z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